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06" w:type="dxa"/>
        <w:tblInd w:w="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003"/>
        <w:gridCol w:w="2392"/>
        <w:gridCol w:w="2693"/>
        <w:gridCol w:w="1418"/>
      </w:tblGrid>
      <w:tr w:rsidR="00157AF9" w:rsidTr="00B056D9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rPr>
                <w:b/>
              </w:rPr>
              <w:t xml:space="preserve">Ainekood 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157AF9">
            <w:pPr>
              <w:pStyle w:val="normal0"/>
              <w:spacing w:after="200" w:line="276" w:lineRule="auto"/>
            </w:pPr>
            <w:bookmarkStart w:id="0" w:name="h.2s8eyo1" w:colFirst="0" w:colLast="0"/>
            <w:bookmarkEnd w:id="0"/>
            <w:r>
              <w:t>Robootika alused</w:t>
            </w:r>
          </w:p>
        </w:tc>
      </w:tr>
      <w:tr w:rsidR="00157AF9" w:rsidTr="0047500C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Heading2"/>
              <w:spacing w:before="60"/>
            </w:pPr>
            <w:r>
              <w:t>Maht  3  EAP</w:t>
            </w:r>
          </w:p>
        </w:tc>
        <w:tc>
          <w:tcPr>
            <w:tcW w:w="2392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Heading2"/>
              <w:spacing w:before="60"/>
            </w:pPr>
            <w:r>
              <w:rPr>
                <w:sz w:val="22"/>
              </w:rPr>
              <w:t>Orienteeriv kontakt-tundide maht:</w:t>
            </w:r>
            <w:r>
              <w:t xml:space="preserve"> </w:t>
            </w:r>
            <w:r w:rsidR="00E55DFA">
              <w:t>30</w:t>
            </w:r>
          </w:p>
        </w:tc>
        <w:tc>
          <w:tcPr>
            <w:tcW w:w="269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  <w:spacing w:before="60"/>
            </w:pPr>
            <w:r>
              <w:rPr>
                <w:sz w:val="22"/>
              </w:rPr>
              <w:t xml:space="preserve">Õppesemester: </w:t>
            </w:r>
            <w:r>
              <w:t>S</w:t>
            </w:r>
          </w:p>
        </w:tc>
        <w:tc>
          <w:tcPr>
            <w:tcW w:w="141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Pr="00A031DF" w:rsidRDefault="00A031DF" w:rsidP="0047500C">
            <w:pPr>
              <w:pStyle w:val="normal0"/>
              <w:spacing w:before="60"/>
              <w:rPr>
                <w:color w:val="auto"/>
              </w:rPr>
            </w:pPr>
            <w:r w:rsidRPr="00A031DF">
              <w:rPr>
                <w:color w:val="auto"/>
                <w:sz w:val="22"/>
              </w:rPr>
              <w:t>A</w:t>
            </w:r>
          </w:p>
        </w:tc>
      </w:tr>
      <w:tr w:rsidR="00157AF9" w:rsidTr="00AC6457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Eesmärk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157AF9">
            <w:pPr>
              <w:pStyle w:val="normal0"/>
              <w:spacing w:after="200" w:line="276" w:lineRule="auto"/>
            </w:pPr>
            <w:r>
              <w:rPr>
                <w:highlight w:val="white"/>
              </w:rPr>
              <w:t xml:space="preserve">Õpetada robootika aluseid; </w:t>
            </w:r>
            <w:r>
              <w:t>tutvustada meetodeid ja vahendeid loogilise, süsteemse ja algoritmilise mõtlemise arendamisek</w:t>
            </w:r>
            <w:r w:rsidR="00E55DFA">
              <w:t>s; anda teadmised ja oskused intelligentsete seadmete kavandamiseks, kokku monteerimiseks ja programmeerimiseks.</w:t>
            </w:r>
          </w:p>
        </w:tc>
      </w:tr>
      <w:tr w:rsidR="00157AF9" w:rsidTr="005F0F29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Aine lühikirjeldus:</w:t>
            </w:r>
          </w:p>
          <w:p w:rsidR="00157AF9" w:rsidRDefault="00157AF9" w:rsidP="0047500C">
            <w:pPr>
              <w:pStyle w:val="normal0"/>
            </w:pPr>
            <w:r>
              <w:t>(sh iseseisva töö sisu kirjeldus vastavuses iseseisva töö mahule)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5DFA" w:rsidRDefault="00E55DFA" w:rsidP="0047500C">
            <w:pPr>
              <w:pStyle w:val="normal0"/>
              <w:rPr>
                <w:highlight w:val="white"/>
              </w:rPr>
            </w:pPr>
            <w:r>
              <w:rPr>
                <w:highlight w:val="white"/>
              </w:rPr>
              <w:t xml:space="preserve">Robootika kasutusvaldkonnad ja võimalused, kasutatavad seadmed ning programmeerimiskeskkonnad. Valdkonnaga seotud probleemid ja nende lahendused. Robootika Eestis: osalejad, eestvedajad, seminarid, võistlused. </w:t>
            </w:r>
            <w:r w:rsidR="00686890">
              <w:rPr>
                <w:highlight w:val="white"/>
              </w:rPr>
              <w:t>Robootika õpetami</w:t>
            </w:r>
            <w:r w:rsidR="00A031DF">
              <w:rPr>
                <w:highlight w:val="white"/>
              </w:rPr>
              <w:t xml:space="preserve">sega seotud soovitused ja nipid, olemasolevad käepärased ja kasutatavad õppematerjalid: </w:t>
            </w:r>
            <w:proofErr w:type="spellStart"/>
            <w:r w:rsidR="00A031DF">
              <w:rPr>
                <w:highlight w:val="white"/>
              </w:rPr>
              <w:t>ProgeTiigri</w:t>
            </w:r>
            <w:proofErr w:type="spellEnd"/>
            <w:r w:rsidR="00A031DF">
              <w:rPr>
                <w:highlight w:val="white"/>
              </w:rPr>
              <w:t xml:space="preserve"> materjalide kogu, </w:t>
            </w:r>
            <w:proofErr w:type="spellStart"/>
            <w:r w:rsidR="00A031DF">
              <w:rPr>
                <w:highlight w:val="white"/>
              </w:rPr>
              <w:t>Mehhatroonika</w:t>
            </w:r>
            <w:proofErr w:type="spellEnd"/>
            <w:r w:rsidR="00A031DF">
              <w:rPr>
                <w:highlight w:val="white"/>
              </w:rPr>
              <w:t xml:space="preserve"> ja Robootika keskkoolikursus, </w:t>
            </w:r>
            <w:proofErr w:type="spellStart"/>
            <w:r w:rsidR="00A031DF">
              <w:rPr>
                <w:highlight w:val="white"/>
              </w:rPr>
              <w:t>robootika.ee</w:t>
            </w:r>
            <w:proofErr w:type="spellEnd"/>
            <w:r w:rsidR="00A031DF">
              <w:rPr>
                <w:highlight w:val="white"/>
              </w:rPr>
              <w:t>, robootika.com.</w:t>
            </w:r>
          </w:p>
          <w:p w:rsidR="00686890" w:rsidRDefault="00686890" w:rsidP="0047500C">
            <w:pPr>
              <w:pStyle w:val="normal0"/>
              <w:rPr>
                <w:highlight w:val="white"/>
              </w:rPr>
            </w:pPr>
          </w:p>
          <w:p w:rsidR="00686890" w:rsidRDefault="00686890" w:rsidP="0047500C">
            <w:pPr>
              <w:pStyle w:val="normal0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LEGO</w:t>
            </w:r>
            <w:proofErr w:type="spellEnd"/>
            <w:r>
              <w:rPr>
                <w:highlight w:val="white"/>
              </w:rPr>
              <w:t xml:space="preserve"> </w:t>
            </w:r>
            <w:proofErr w:type="spellStart"/>
            <w:r>
              <w:rPr>
                <w:highlight w:val="white"/>
              </w:rPr>
              <w:t>Mindstorms</w:t>
            </w:r>
            <w:proofErr w:type="spellEnd"/>
            <w:r>
              <w:rPr>
                <w:highlight w:val="white"/>
              </w:rPr>
              <w:t xml:space="preserve"> robootikaplatvorm. Komplekti ülesehitus, andurid, mootorid, muud väljundseadmed. Lihtsate lahenduste loomine graafilise programmeerimiskeskkonna kaudu. Liikuva roboti ehitamine. Reageerimine heli ja valguse peale. Kaugusanduri kasutamine ruumis liikumisel, möödujate loendamisel, tõkkepuusimulaatori ehitamisel. </w:t>
            </w:r>
            <w:r w:rsidR="002E24EF">
              <w:rPr>
                <w:highlight w:val="white"/>
              </w:rPr>
              <w:t>Helide genereerimine ning kasutaja tegevust arvestava muusikainstrumendi loomine. Joonistamine roboti ekraanile. Teksti ja arvuliste andmete näitamine ekraanil ning töötlemine programmi abil. Matemaatika- ning loogikaplokid. Andmete salvestamine faili ning tulemuste kasutamine. Muutujad ning nende roll algoritmide kirjapanekul. Mitmelõimelise programmi koostamine.</w:t>
            </w:r>
            <w:r w:rsidR="00A031DF">
              <w:rPr>
                <w:highlight w:val="white"/>
              </w:rPr>
              <w:t xml:space="preserve"> Andmeside robotite vahel, mitmest robotist koosneva süsteemi ehitamine.</w:t>
            </w:r>
            <w:r w:rsidR="002E24EF">
              <w:rPr>
                <w:highlight w:val="white"/>
              </w:rPr>
              <w:t xml:space="preserve"> </w:t>
            </w:r>
            <w:r w:rsidR="00A031DF">
              <w:rPr>
                <w:highlight w:val="white"/>
              </w:rPr>
              <w:t>Graafilise programmeerimise plussid ja miinused, programmikoodi abil lahenduste kirjapaneku võimalused ja keskkonnad.</w:t>
            </w:r>
          </w:p>
          <w:p w:rsidR="00E55DFA" w:rsidRDefault="00E55DFA" w:rsidP="0047500C">
            <w:pPr>
              <w:pStyle w:val="normal0"/>
              <w:rPr>
                <w:highlight w:val="white"/>
              </w:rPr>
            </w:pPr>
          </w:p>
          <w:p w:rsidR="00A031DF" w:rsidRDefault="00A031DF" w:rsidP="00A031DF">
            <w:pPr>
              <w:pStyle w:val="normal0"/>
            </w:pPr>
            <w:r>
              <w:rPr>
                <w:highlight w:val="white"/>
              </w:rPr>
              <w:t>Iseseisva tööna kavandatakse ja koostatakse mitmesuguseid reaalelulähedasi seadmeid üksi ja grupina. Näiteid: intelligentne prügikast, signalisatsioonisüsteem, parkla mudel, muusikainstrument, ala kaardistaja</w:t>
            </w:r>
            <w:r>
              <w:t>, ühe ala võistlusrobot.</w:t>
            </w:r>
          </w:p>
          <w:p w:rsidR="00157AF9" w:rsidRDefault="00157AF9" w:rsidP="0047500C">
            <w:pPr>
              <w:pStyle w:val="normal0"/>
              <w:spacing w:after="200" w:line="276" w:lineRule="auto"/>
            </w:pPr>
          </w:p>
        </w:tc>
      </w:tr>
      <w:tr w:rsidR="00157AF9" w:rsidTr="004E6933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Õpiväljundid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8371B0" w:rsidP="0047500C">
            <w:pPr>
              <w:pStyle w:val="normal0"/>
              <w:spacing w:after="200" w:line="276" w:lineRule="auto"/>
            </w:pPr>
            <w:r>
              <w:t>Kursuse läbinu</w:t>
            </w:r>
          </w:p>
          <w:p w:rsidR="008371B0" w:rsidRDefault="008371B0" w:rsidP="0047500C">
            <w:pPr>
              <w:pStyle w:val="normal0"/>
              <w:spacing w:after="200" w:line="276" w:lineRule="auto"/>
            </w:pPr>
            <w:r>
              <w:t>Tunneb robootika võimalusi, kasutatavaid vahendeid, keskkondi ja piiranguid</w:t>
            </w:r>
            <w:r w:rsidR="004C732E">
              <w:t>.</w:t>
            </w:r>
          </w:p>
          <w:p w:rsidR="004C732E" w:rsidRDefault="004C732E" w:rsidP="0047500C">
            <w:pPr>
              <w:pStyle w:val="normal0"/>
              <w:spacing w:after="200" w:line="276" w:lineRule="auto"/>
            </w:pPr>
            <w:r>
              <w:t>Oskab kavandada, koostada ja katsetada reaalelulisi seadmeid jäljendavaid mudeleid.</w:t>
            </w:r>
          </w:p>
        </w:tc>
      </w:tr>
      <w:tr w:rsidR="00157AF9" w:rsidTr="00404304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lastRenderedPageBreak/>
              <w:t>Hindamismeetodid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  <w:spacing w:after="200" w:line="276" w:lineRule="auto"/>
            </w:pPr>
            <w:r>
              <w:t>Arvestus</w:t>
            </w:r>
          </w:p>
        </w:tc>
      </w:tr>
      <w:tr w:rsidR="00157AF9" w:rsidTr="0092413F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Õppejõud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Pr="00157AF9" w:rsidRDefault="00157AF9" w:rsidP="0047500C">
            <w:pPr>
              <w:pStyle w:val="normal0"/>
              <w:spacing w:after="200" w:line="276" w:lineRule="auto"/>
              <w:rPr>
                <w:color w:val="auto"/>
              </w:rPr>
            </w:pPr>
            <w:r w:rsidRPr="00157AF9">
              <w:rPr>
                <w:color w:val="auto"/>
              </w:rPr>
              <w:t>J. Kippar</w:t>
            </w:r>
          </w:p>
        </w:tc>
      </w:tr>
      <w:tr w:rsidR="00157AF9" w:rsidTr="006C48CB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Ingliskeelne nimetus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4C732E" w:rsidP="0047500C">
            <w:pPr>
              <w:pStyle w:val="normal0"/>
              <w:spacing w:after="200" w:line="276" w:lineRule="auto"/>
            </w:pPr>
            <w:r>
              <w:t xml:space="preserve">Basic </w:t>
            </w:r>
            <w:proofErr w:type="spellStart"/>
            <w:r>
              <w:t>course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robotics</w:t>
            </w:r>
            <w:proofErr w:type="spellEnd"/>
            <w:r>
              <w:t>?</w:t>
            </w:r>
          </w:p>
        </w:tc>
      </w:tr>
      <w:tr w:rsidR="00157AF9" w:rsidTr="00161E3E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Eeldusaine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4C732E" w:rsidP="0047500C">
            <w:pPr>
              <w:pStyle w:val="normal0"/>
              <w:spacing w:after="200" w:line="276" w:lineRule="auto"/>
            </w:pPr>
            <w:r>
              <w:t>Puudub</w:t>
            </w:r>
          </w:p>
        </w:tc>
      </w:tr>
      <w:tr w:rsidR="00157AF9" w:rsidTr="0094692A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Kohustuslik kirjandus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4C732E" w:rsidP="0047500C">
            <w:pPr>
              <w:pStyle w:val="normal0"/>
              <w:spacing w:after="200" w:line="276" w:lineRule="auto"/>
            </w:pPr>
            <w:proofErr w:type="spellStart"/>
            <w:r>
              <w:t>ProgeTiigri</w:t>
            </w:r>
            <w:proofErr w:type="spellEnd"/>
            <w:r>
              <w:t xml:space="preserve"> robootikateemalised õppematerjalid</w:t>
            </w:r>
          </w:p>
          <w:p w:rsidR="004C732E" w:rsidRDefault="004C732E" w:rsidP="0047500C">
            <w:pPr>
              <w:pStyle w:val="normal0"/>
              <w:spacing w:after="200" w:line="276" w:lineRule="auto"/>
            </w:pPr>
            <w:r w:rsidRPr="004C732E">
              <w:t>http://www.tiigrihype.ee/et/oppematerjalid-ja-koolitused</w:t>
            </w:r>
          </w:p>
        </w:tc>
      </w:tr>
      <w:tr w:rsidR="00157AF9" w:rsidTr="004C2279">
        <w:tc>
          <w:tcPr>
            <w:tcW w:w="200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157AF9" w:rsidP="0047500C">
            <w:pPr>
              <w:pStyle w:val="normal0"/>
            </w:pPr>
            <w:r>
              <w:t>Asenduskirjandus</w:t>
            </w:r>
          </w:p>
          <w:p w:rsidR="00157AF9" w:rsidRDefault="00157AF9" w:rsidP="0047500C">
            <w:pPr>
              <w:pStyle w:val="normal0"/>
            </w:pPr>
            <w:r>
              <w:t>(üliõpilase poolt läbi töötatava kirjanduse loetelu, mis katab ainekursuse loengulist osa)</w:t>
            </w:r>
          </w:p>
        </w:tc>
        <w:tc>
          <w:tcPr>
            <w:tcW w:w="6503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57AF9" w:rsidRDefault="004C732E" w:rsidP="0047500C">
            <w:pPr>
              <w:pStyle w:val="normal0"/>
              <w:spacing w:after="200" w:line="276" w:lineRule="auto"/>
            </w:pPr>
            <w:r>
              <w:t>Aine ei ole läbitav vaid asenduskirjanduse alusel</w:t>
            </w:r>
          </w:p>
        </w:tc>
      </w:tr>
    </w:tbl>
    <w:p w:rsidR="004D7DA2" w:rsidRDefault="004C732E"/>
    <w:sectPr w:rsidR="004D7DA2" w:rsidSect="000C66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7AF9"/>
    <w:rsid w:val="000C6699"/>
    <w:rsid w:val="00157AF9"/>
    <w:rsid w:val="002E24EF"/>
    <w:rsid w:val="004C3292"/>
    <w:rsid w:val="004C732E"/>
    <w:rsid w:val="00686890"/>
    <w:rsid w:val="008371B0"/>
    <w:rsid w:val="00967860"/>
    <w:rsid w:val="00A031DF"/>
    <w:rsid w:val="00D7103D"/>
    <w:rsid w:val="00E5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7AF9"/>
    <w:rPr>
      <w:rFonts w:eastAsiaTheme="minorEastAsia"/>
      <w:lang w:eastAsia="et-EE"/>
    </w:rPr>
  </w:style>
  <w:style w:type="paragraph" w:styleId="Heading1">
    <w:name w:val="heading 1"/>
    <w:basedOn w:val="normal0"/>
    <w:next w:val="normal0"/>
    <w:link w:val="Heading1Char"/>
    <w:rsid w:val="00157AF9"/>
    <w:pPr>
      <w:outlineLvl w:val="0"/>
    </w:pPr>
    <w:rPr>
      <w:b/>
    </w:rPr>
  </w:style>
  <w:style w:type="paragraph" w:styleId="Heading2">
    <w:name w:val="heading 2"/>
    <w:basedOn w:val="normal0"/>
    <w:next w:val="normal0"/>
    <w:link w:val="Heading2Char"/>
    <w:rsid w:val="00157AF9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7AF9"/>
    <w:rPr>
      <w:rFonts w:ascii="Times New Roman" w:eastAsia="Times New Roman" w:hAnsi="Times New Roman" w:cs="Times New Roman"/>
      <w:b/>
      <w:color w:val="000000"/>
      <w:sz w:val="24"/>
      <w:lang w:eastAsia="et-EE"/>
    </w:rPr>
  </w:style>
  <w:style w:type="character" w:customStyle="1" w:styleId="Heading2Char">
    <w:name w:val="Heading 2 Char"/>
    <w:basedOn w:val="DefaultParagraphFont"/>
    <w:link w:val="Heading2"/>
    <w:rsid w:val="00157AF9"/>
    <w:rPr>
      <w:rFonts w:ascii="Times New Roman" w:eastAsia="Times New Roman" w:hAnsi="Times New Roman" w:cs="Times New Roman"/>
      <w:color w:val="000000"/>
      <w:sz w:val="24"/>
      <w:lang w:eastAsia="et-EE"/>
    </w:rPr>
  </w:style>
  <w:style w:type="paragraph" w:customStyle="1" w:styleId="normal0">
    <w:name w:val="normal"/>
    <w:rsid w:val="00157AF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lang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5EC1B-AAD3-4AE0-A351-3A58F1E43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375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</dc:creator>
  <cp:keywords/>
  <dc:description/>
  <cp:lastModifiedBy>kasutaja</cp:lastModifiedBy>
  <cp:revision>4</cp:revision>
  <dcterms:created xsi:type="dcterms:W3CDTF">2013-01-29T20:57:00Z</dcterms:created>
  <dcterms:modified xsi:type="dcterms:W3CDTF">2013-01-29T23:53:00Z</dcterms:modified>
</cp:coreProperties>
</file>