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keepLines w:val="false"/>
        <w:widowControl w:val="false"/>
        <w:spacing w:lineRule="auto" w:line="240" w:before="280" w:after="119"/>
        <w:ind w:left="0" w:right="7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bl>
      <w:tblPr>
        <w:tblStyle w:val="Table1"/>
        <w:tblW w:w="9983" w:type="dxa"/>
        <w:jc w:val="left"/>
        <w:tblInd w:w="-14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65" w:type="dxa"/>
          <w:bottom w:w="0" w:type="dxa"/>
          <w:right w:w="108" w:type="dxa"/>
        </w:tblCellMar>
        <w:tblLook w:val="0000"/>
      </w:tblPr>
      <w:tblGrid>
        <w:gridCol w:w="2253"/>
        <w:gridCol w:w="2199"/>
        <w:gridCol w:w="2632"/>
        <w:gridCol w:w="2898"/>
      </w:tblGrid>
      <w:tr>
        <w:trPr>
          <w:trHeight w:val="420" w:hRule="atLeast"/>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Ainekood IFI6218.DT</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NIMETUS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Digihumanitaaria tehnoloogiad </w:t>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Maht EAP 4</w:t>
            </w:r>
          </w:p>
        </w:tc>
        <w:tc>
          <w:tcPr>
            <w:tcW w:w="219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Kontakttundide maht: 56</w:t>
            </w:r>
          </w:p>
        </w:tc>
        <w:tc>
          <w:tcPr>
            <w:tcW w:w="263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Õppesemester:                                     S</w:t>
            </w:r>
          </w:p>
        </w:tc>
        <w:tc>
          <w:tcPr>
            <w:tcW w:w="289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Arvestus</w:t>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Eesmärk:</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Luua eeldused humanitaariavaldkonna suundade juures digitehnoloogiliste abivahendite kasutamiseks ja nende loomiseks.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Luua eeldused praktiliste algoskuste kujunemiseks programmeerimise valdkonnas.</w:t>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Aine lühikirjeldus:</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(sh iseseisva töö sisu kirjeldus vastavuses iseseisva töö mahule)</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spacing w:lineRule="auto" w:line="240" w:before="0" w:after="0"/>
              <w:rPr/>
            </w:pPr>
            <w:r>
              <w:rPr/>
              <w:t xml:space="preserve">Tekstiredaktorite võimalused lähtetekstidest ülevaate saamiseks ning nende ülevaatlikumaks kohendamiseks. </w:t>
            </w:r>
          </w:p>
          <w:p>
            <w:pPr>
              <w:pStyle w:val="Normal"/>
              <w:spacing w:lineRule="auto" w:line="240" w:before="0" w:after="0"/>
              <w:rPr/>
            </w:pPr>
            <w:r>
              <w:rPr/>
              <w:t xml:space="preserve">Välistest allikatest saabunud tekstide ja muude andmete puhastamine mugavamaks töötluseks. </w:t>
            </w:r>
          </w:p>
          <w:p>
            <w:pPr>
              <w:pStyle w:val="Normal"/>
              <w:spacing w:lineRule="auto" w:line="240" w:before="0" w:after="0"/>
              <w:rPr/>
            </w:pPr>
            <w:r>
              <w:rPr/>
              <w:t xml:space="preserve">Veebikeskkonnast struktuurse andmestiku kopeerimine wget-i abil ja saabunud failide töötlemine. </w:t>
            </w:r>
          </w:p>
          <w:p>
            <w:pPr>
              <w:pStyle w:val="Normal"/>
              <w:spacing w:lineRule="auto" w:line="240" w:before="0" w:after="0"/>
              <w:rPr/>
            </w:pPr>
            <w:r>
              <w:rPr/>
              <w:t xml:space="preserve">Regulaaravaldiste kasutamine asenduskäskude juures. Tabelarvutussüsteemide vahendid ülevaadete ja kokkuvõtete loomiseks. </w:t>
            </w:r>
          </w:p>
          <w:p>
            <w:pPr>
              <w:pStyle w:val="Normal"/>
              <w:spacing w:lineRule="auto" w:line="240" w:before="0" w:after="0"/>
              <w:rPr/>
            </w:pPr>
            <w:r>
              <w:rPr/>
              <w:t xml:space="preserve">Makrode koostamine sagedaste lühikeste tegevuste automatiseerimiseks. Makrod töölaua- ning veebipõhise kontoritarkvara juures. </w:t>
            </w:r>
          </w:p>
          <w:p>
            <w:pPr>
              <w:pStyle w:val="Normal"/>
              <w:spacing w:lineRule="auto" w:line="240" w:before="0" w:after="0"/>
              <w:rPr/>
            </w:pPr>
            <w:r>
              <w:rPr/>
              <w:t xml:space="preserve">Andmebaasisüsteemide ülesehitus. Relatsioonilisel kujul andmed ning nendest kokkuvõtete tegemine. Andmete järjestamine, filtreerimine, grupeerimine, tulemuste arvutamine üksikridade ning gruppide kaupa. Andmetabelite sidumine, päringud seotud tabelitest. </w:t>
            </w:r>
          </w:p>
          <w:p>
            <w:pPr>
              <w:pStyle w:val="Normal"/>
              <w:spacing w:lineRule="auto" w:line="240" w:before="0" w:after="0"/>
              <w:rPr/>
            </w:pPr>
            <w:r>
              <w:rPr/>
              <w:t xml:space="preserve">Programmeerimise põhimõisted ja -tõed. Tekstilistest andmetest seaduspärade leidmine programmeerimise vahenditega. </w:t>
            </w:r>
          </w:p>
          <w:p>
            <w:pPr>
              <w:pStyle w:val="Normal"/>
              <w:spacing w:lineRule="auto" w:line="240" w:before="0" w:after="0"/>
              <w:rPr/>
            </w:pPr>
            <w:r>
              <w:rPr/>
              <w:t xml:space="preserve">Tekstide, andmestike ja programmikoodi eraviisiline ja ühine koostamine versioonihaldussüsteemi (nt git) abil. </w:t>
            </w:r>
          </w:p>
          <w:p>
            <w:pPr>
              <w:pStyle w:val="Normal"/>
              <w:spacing w:lineRule="auto" w:line="240" w:before="0" w:after="0"/>
              <w:rPr/>
            </w:pPr>
            <w:r>
              <w:rPr/>
              <w:t>Semantiline veeb: semantilise veebi arendamise tehnoloogiad.</w:t>
            </w:r>
          </w:p>
          <w:p>
            <w:pPr>
              <w:pStyle w:val="Normal"/>
              <w:spacing w:lineRule="auto" w:line="240" w:before="0" w:after="0"/>
              <w:rPr/>
            </w:pPr>
            <w:r>
              <w:rPr/>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Õpiväljundid:</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spacing w:before="0" w:after="0"/>
              <w:rPr/>
            </w:pPr>
            <w:r>
              <w:rPr/>
              <w:t>Teadmised</w:t>
            </w:r>
          </w:p>
          <w:p>
            <w:pPr>
              <w:pStyle w:val="Normal"/>
              <w:spacing w:before="0" w:after="0"/>
              <w:rPr/>
            </w:pPr>
            <w:r>
              <w:rPr/>
              <w:t>Teab õpingutes ja tulevases töös rakendatavaid põhilisi digitehnoloogilisi meetodeid ja tarkvara.</w:t>
            </w:r>
          </w:p>
          <w:p>
            <w:pPr>
              <w:pStyle w:val="Normal"/>
              <w:spacing w:before="0" w:after="0"/>
              <w:rPr/>
            </w:pPr>
            <w:r>
              <w:rPr/>
            </w:r>
          </w:p>
          <w:p>
            <w:pPr>
              <w:pStyle w:val="Normal"/>
              <w:spacing w:before="0" w:after="0"/>
              <w:rPr/>
            </w:pPr>
            <w:r>
              <w:rPr/>
            </w:r>
          </w:p>
          <w:p>
            <w:pPr>
              <w:pStyle w:val="Normal"/>
              <w:spacing w:before="0" w:after="0"/>
              <w:rPr/>
            </w:pPr>
            <w:r>
              <w:rPr/>
              <w:t>Oskused</w:t>
            </w:r>
          </w:p>
          <w:p>
            <w:pPr>
              <w:pStyle w:val="Normal"/>
              <w:spacing w:before="0" w:after="0"/>
              <w:rPr/>
            </w:pPr>
            <w:r>
              <w:rPr/>
              <w:t xml:space="preserve">Oskab neid teadlikult ja eesmärgipäraselt kasutada, valides konkreetse uurimusliku (lingvistilise, kultuurilise, ajaloolise, sotsiaalse jms) või rakendusliku ülesande lahendamiseks optimaalsed meetodid ja programmid ning kohandades neid kitsamatel eesmärkidel. Oskab programmeerimiskeeles kirja panna põhilisi algoritme ja kasutada neid info otsimiseks ja automaatseks töötlemiseks. </w:t>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Hindamismeetodid:</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spacing w:lineRule="auto" w:line="240" w:before="0" w:after="0"/>
              <w:rPr/>
            </w:pPr>
            <w:r>
              <w:rPr/>
              <w:t>Arvestus</w:t>
            </w:r>
          </w:p>
          <w:p>
            <w:pPr>
              <w:pStyle w:val="Normal"/>
              <w:spacing w:lineRule="auto" w:line="240" w:before="0" w:after="0"/>
              <w:rPr/>
            </w:pPr>
            <w:r>
              <w:rPr/>
            </w:r>
          </w:p>
          <w:p>
            <w:pPr>
              <w:pStyle w:val="Normal"/>
              <w:spacing w:lineRule="auto" w:line="240" w:before="0" w:after="0"/>
              <w:rPr/>
            </w:pPr>
            <w:r>
              <w:rPr/>
              <w:t>Arvestuse saamiseks aines tuleb koostada ja õppejõule ette näidata ning seletada tundides kavas olnud tehnilised lahendused ning osaleda seminaril.</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Täpsem kirjeldus kursuse lehel </w:t>
            </w:r>
          </w:p>
          <w:p>
            <w:pPr>
              <w:pStyle w:val="Normal"/>
              <w:keepNext/>
              <w:keepLines w:val="false"/>
              <w:widowControl w:val="false"/>
              <w:spacing w:lineRule="auto" w:line="240" w:before="0" w:after="119"/>
              <w:ind w:left="0" w:right="0" w:hanging="0"/>
              <w:jc w:val="left"/>
              <w:rPr/>
            </w:pPr>
            <w:hyperlink r:id="rId2">
              <w:r>
                <w:rPr>
                  <w:rStyle w:val="Internetilink"/>
                  <w:rFonts w:eastAsia="Times New Roman" w:cs="Times New Roman"/>
                  <w:b w:val="false"/>
                  <w:i w:val="false"/>
                  <w:caps w:val="false"/>
                  <w:smallCaps w:val="false"/>
                  <w:strike w:val="false"/>
                  <w:dstrike w:val="false"/>
                  <w:color w:val="0000FF"/>
                  <w:position w:val="0"/>
                  <w:sz w:val="24"/>
                  <w:sz w:val="24"/>
                  <w:szCs w:val="24"/>
                  <w:u w:val="single"/>
                  <w:vertAlign w:val="baseline"/>
                </w:rPr>
                <w:t>http://minitorn.tlu.ee/~jaagup/kool/java/kursused/18/dt/juht.html</w:t>
              </w:r>
            </w:hyperlink>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Õppejõud:</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Jaagup Kippar</w:t>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Ingliskeelne nimetus:</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Technologies of Digital Humanities</w:t>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Eeldusaine:</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Kohustuslik kirjandus:</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Inga Petuhhovi õppematerjalid Pythoni kohta: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http://www.cs.tlu.ee/~inga/progbaas/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http://www.cs.tlu.ee/~inga/progbaas/Materjalid/Python_sissejuhatus_2011.pdf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Jaagup Kippari õppematerjalid XMLi kohta: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http://minitorn.tlu.ee/~jaagup/kool/java/loeng/xmlrak/xmlrak.pdf </w:t>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Asenduskirjandus:</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(üliõpilase poolt läbi töötatava kirjanduse loetelu, mis katab ainekursuse loengulist osa)</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Ainet pole võimalik läbida ainult asenduskirjanduse alusel. Kokkulepped võimalikud varem andmetöötlusega tõsisemalt tegelenud õppuritega.</w:t>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Õppetöös osalemise ja eksamile/arvestusele pääsemise nõuded</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280" w:after="2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Arvestuse kirja saamiseks peab esitama ja kaitsma kõik kodutööd, sooritama kontrolltööd ja arvestustöö ning osalema seminaril.</w:t>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Iseseisva töö nõuded</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Veebisaidilt tekstiandmete eraldamine.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Suhteliste sageduste ning nende kaudu sarnasuste ja erinevuste leidmine.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Temaatilistelt lehtedelt andmete eraldamine töödeldaval kujul.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Eri vormingutes andmetest vajaliku eraldamine.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Andmete vormindamine tabelarvutuseks sobivaks. Väärtuste teisendamine, kokkuvõtete arvutamine.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Olemasolevale relatsioonilisele andmebaasile andmete lisamine, päringute tegemine. Relatsioonilise andmemudeli loomine vastavalt olemasolevatele andmetele, päringud vastavalt vajalikele ülesannetele. </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Andmeid mugavamalt kättesaadavamaks tegevate väikeste programmilõikude koostamine ajalooandmete, kartograafiaandmete, folkloristika, muusika ja keeleteaduse näidetel. </w:t>
            </w:r>
          </w:p>
          <w:p>
            <w:pPr>
              <w:pStyle w:val="Normal"/>
              <w:keepNext/>
              <w:keepLines w:val="false"/>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Arvestustööks ühe valdkonna raames eri allikatest kogutud andmete põhjal valmistarkvara ning oma abiprogrammide abil tehtud illustreerivad võrdused. </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Täpsemad kirjeldused ja täiendused ilmuvad semestri käigus kursuse lehele</w:t>
            </w:r>
          </w:p>
        </w:tc>
      </w:tr>
      <w:tr>
        <w:trPr>
          <w:trHeight w:val="5300" w:hRule="atLeast"/>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Eksami hindamiskriteeriumid või arvestuse sooritamiseks vajalik miinimumtase </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t>Hindamiskriteeriumid, millest hindamisel lähtutakse:</w:t>
            </w:r>
          </w:p>
          <w:p>
            <w:pPr>
              <w:pStyle w:val="Normal"/>
              <w:spacing w:lineRule="auto" w:line="240" w:before="0" w:after="0"/>
              <w:rPr/>
            </w:pPr>
            <w:r>
              <w:rPr/>
              <w:t>Teadmised</w:t>
            </w:r>
          </w:p>
          <w:p>
            <w:pPr>
              <w:pStyle w:val="Normal"/>
              <w:spacing w:lineRule="auto" w:line="240" w:before="0" w:after="0"/>
              <w:rPr/>
            </w:pPr>
            <w:r>
              <w:rPr/>
              <w:t>Arvestatud: Teab õpingutes ja tulevases töös rakendatavaid põhilisi digitehnoloogilisi meetodeid ja tarkvara. Oskab neid teadlikult ja eesmärgipäraselt kasutada, valides konkreetse uurimusliku (lingvistilise, kultuurilise, ajaloolise, sotsiaalse jms) või rakendusliku ülesande lahendamiseks optimaalsed meetodid ja programmid ning kohandades neid kitsamatel eesmärkidel</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Oskused</w:t>
            </w:r>
          </w:p>
          <w:p>
            <w:pPr>
              <w:pStyle w:val="Normal"/>
              <w:spacing w:lineRule="auto" w:line="240" w:before="0" w:after="0"/>
              <w:rPr/>
            </w:pPr>
            <w:r>
              <w:rPr/>
              <w:t>Arvestatud: Oskab mitmesuguseid andmeid edaspidiseks mugavamaks kasutamiseks ette valmistada nii tekstiredaktori käskude, tabelarvutuse avaldiste kui programmeerimiskeele kaudu.   Oskab programmeerimiskeeles kirja panna põhilisi algoritme ja kasutada neid info otsimiseks ja automaatseks töötlemiseks.</w:t>
            </w:r>
          </w:p>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 </w:t>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Informatsioon kursuse sisu kohta, kursuse jaotumine teemade kaupa sh kontakttundide ajad</w:t>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Läbitavad teemad nädalate või loengute kaupa. </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04.09 Veebilehestikuga süstemaatiline tutvumine, tekstiliste andmete eraldamine ja puhastamine, soovitud väärtuste leidmine, kokku lugemine</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07.09 Tabelarvutuse võimaluste meelde tuletamine. Veebilehestikust saadud andmete kasutamine tabelarvutuses.</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11.09 Regulaaravaldised, nende abil andmete eraldamine tekstist</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14.09 Programmeerimise võimalused Pythoni näitel</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18.09 Muutujad, avaldised, failide kasutamine</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21.09 Tingimuslaused, massiivid, tekstitöötluskäsud</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25.09 Kordused, nende kasutamine failide töötlemisel</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28.09 Pandas-paketi võimalused andmete töötlemisel</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02.10 Kokkuvõtlikud päringud andmetest. Järjestamine, filtreerimine ja võrdlemine. Arvutamine gruppide kaupa. </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05.10 Jooniste koostamine matplotlibi abil</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09.10 Jooniste abil andmete ülevaatlikkuse suurendamine ja kokkuvõtete illustreerimine</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12.10 Teksti andmete leidmine estnltk abil</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16.10 Tekstifaili uuring Linuxi käsureavahendite abil</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19.10 Tutvus MySQLiga, käsud ühe tabeli juures</w:t>
            </w:r>
          </w:p>
          <w:p>
            <w:pPr>
              <w:pStyle w:val="Normal"/>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30.10 Tabelite ühendamine, päringud mitmest tabelist</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02.11 Filmibaasi struktuuriga tutvumine</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06.11 Pikemad päringud filmibaasist</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09.11 SQL-päringute tulemuste hilisem töötlemine Pythonis</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13.11 Alampäringud, keerukamate kokkuvõtete tegemine</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16.11 Veebilehtede koostamine, HTML</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20.11 Päringute tulemuste kuvamine veebilehele</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23.11 Kasutaja andmete kasutamine päringutes</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27.11 Tõenäosuste arvutamine ja võrdlemine andmerühmades</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30.11 Avastatud seaduspärade esitamine arvuliselt ja graafiliselt</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04.12 Kontrolltöö</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07.12 Kontrolltöö</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11.12 Seminar</w:t>
            </w:r>
          </w:p>
          <w:p>
            <w:pPr>
              <w:pStyle w:val="Normal"/>
              <w:widowControl w:val="false"/>
              <w:spacing w:lineRule="auto" w:line="240" w:before="0" w:after="119"/>
              <w:ind w:left="0" w:right="0" w:hanging="0"/>
              <w:jc w:val="left"/>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14.12 Võimaluste ülevaade, järelvastamine</w:t>
            </w:r>
          </w:p>
          <w:p>
            <w:pPr>
              <w:pStyle w:val="Normal"/>
              <w:keepNext/>
              <w:keepLines w:val="false"/>
              <w:widowControl w:val="false"/>
              <w:spacing w:lineRule="auto" w:line="240" w:before="0" w:after="119"/>
              <w:ind w:left="0" w:right="0" w:hanging="0"/>
              <w:jc w:val="left"/>
              <w:rPr/>
            </w:pPr>
            <w:bookmarkStart w:id="0" w:name="_dsn7bcxvstjj"/>
            <w:bookmarkStart w:id="1" w:name="_dsn7bcxvstjj"/>
            <w:bookmarkEnd w:id="1"/>
            <w:r>
              <w:rPr/>
            </w:r>
          </w:p>
        </w:tc>
      </w:tr>
      <w:tr>
        <w:trPr/>
        <w:tc>
          <w:tcPr>
            <w:tcW w:w="225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c>
          <w:tcPr>
            <w:tcW w:w="7729"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bl>
    <w:p>
      <w:pPr>
        <w:pStyle w:val="Normal"/>
        <w:keepNext/>
        <w:keepLines w:val="false"/>
        <w:widowControl w:val="false"/>
        <w:spacing w:lineRule="auto" w:line="240" w:before="280" w:after="2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bl>
      <w:tblPr>
        <w:tblStyle w:val="Table2"/>
        <w:tblW w:w="4679" w:type="dxa"/>
        <w:jc w:val="left"/>
        <w:tblInd w:w="-14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65" w:type="dxa"/>
          <w:bottom w:w="0" w:type="dxa"/>
          <w:right w:w="108" w:type="dxa"/>
        </w:tblCellMar>
        <w:tblLook w:val="0000"/>
      </w:tblPr>
      <w:tblGrid>
        <w:gridCol w:w="2070"/>
        <w:gridCol w:w="2608"/>
      </w:tblGrid>
      <w:tr>
        <w:trPr/>
        <w:tc>
          <w:tcPr>
            <w:tcW w:w="20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Õppeainet kureeriv üksus:</w:t>
            </w:r>
          </w:p>
        </w:tc>
        <w:tc>
          <w:tcPr>
            <w:tcW w:w="26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Digitehnoloogiate</w:t>
            </w: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 instituut</w:t>
            </w:r>
          </w:p>
        </w:tc>
      </w:tr>
      <w:tr>
        <w:trPr/>
        <w:tc>
          <w:tcPr>
            <w:tcW w:w="20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Kursuseprogrammi koostaja </w:t>
            </w:r>
          </w:p>
        </w:tc>
        <w:tc>
          <w:tcPr>
            <w:tcW w:w="26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0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Allkiri:</w:t>
            </w:r>
          </w:p>
        </w:tc>
        <w:tc>
          <w:tcPr>
            <w:tcW w:w="26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07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Kuupäev:</w:t>
            </w:r>
          </w:p>
        </w:tc>
        <w:tc>
          <w:tcPr>
            <w:tcW w:w="26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bl>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 xml:space="preserve">Kursuseprogramm registreeritud akadeemilises üksuses </w:t>
      </w:r>
    </w:p>
    <w:tbl>
      <w:tblPr>
        <w:tblStyle w:val="Table3"/>
        <w:tblW w:w="4679" w:type="dxa"/>
        <w:jc w:val="left"/>
        <w:tblInd w:w="-14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65" w:type="dxa"/>
          <w:bottom w:w="0" w:type="dxa"/>
          <w:right w:w="108" w:type="dxa"/>
        </w:tblCellMar>
        <w:tblLook w:val="0000"/>
      </w:tblPr>
      <w:tblGrid>
        <w:gridCol w:w="2042"/>
        <w:gridCol w:w="2636"/>
      </w:tblGrid>
      <w:tr>
        <w:trPr/>
        <w:tc>
          <w:tcPr>
            <w:tcW w:w="20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Kuupäev</w:t>
            </w:r>
          </w:p>
        </w:tc>
        <w:tc>
          <w:tcPr>
            <w:tcW w:w="263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0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Õppeassistendi nimi</w:t>
            </w:r>
          </w:p>
        </w:tc>
        <w:tc>
          <w:tcPr>
            <w:tcW w:w="263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r>
        <w:trPr/>
        <w:tc>
          <w:tcPr>
            <w:tcW w:w="2042"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t>Allkiri</w:t>
            </w:r>
          </w:p>
        </w:tc>
        <w:tc>
          <w:tcPr>
            <w:tcW w:w="263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tcMar>
              <w:left w:w="65" w:type="dxa"/>
            </w:tcMar>
          </w:tcPr>
          <w:p>
            <w:pPr>
              <w:pStyle w:val="Normal"/>
              <w:keepNext/>
              <w:keepLines w:val="false"/>
              <w:widowControl w:val="false"/>
              <w:spacing w:lineRule="auto" w:line="240" w:before="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Times New Roman" w:cs="Times New Roman"/>
                <w:b w:val="false"/>
                <w:i w:val="false"/>
                <w:caps w:val="false"/>
                <w:smallCaps w:val="false"/>
                <w:strike w:val="false"/>
                <w:dstrike w:val="false"/>
                <w:color w:val="00000A"/>
                <w:position w:val="0"/>
                <w:sz w:val="24"/>
                <w:sz w:val="24"/>
                <w:szCs w:val="24"/>
                <w:u w:val="none"/>
                <w:vertAlign w:val="baseline"/>
              </w:rPr>
            </w:r>
          </w:p>
        </w:tc>
      </w:tr>
    </w:tbl>
    <w:p>
      <w:pPr>
        <w:pStyle w:val="Normal"/>
        <w:spacing w:before="0" w:after="0"/>
        <w:rPr/>
      </w:pPr>
      <w:r>
        <w:rPr/>
      </w:r>
    </w:p>
    <w:sectPr>
      <w:type w:val="nextPage"/>
      <w:pgSz w:w="11906" w:h="16838"/>
      <w:pgMar w:left="1418" w:right="926" w:header="0" w:top="1418" w:footer="0" w:bottom="1418"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4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szCs w:val="24"/>
        <w:lang w:val="et-EE" w:eastAsia="zh-CN" w:bidi="hi-IN"/>
      </w:rPr>
    </w:rPrDefault>
    <w:pPrDefault>
      <w:pPr/>
    </w:pPrDefault>
  </w:docDefaults>
  <w:style w:type="paragraph" w:styleId="Normal">
    <w:name w:val="Normal"/>
    <w:qFormat/>
    <w:pPr>
      <w:keepNext/>
      <w:keepLines w:val="false"/>
      <w:widowControl w:val="false"/>
      <w:bidi w:val="0"/>
      <w:spacing w:lineRule="auto" w:line="240" w:before="0" w:after="0"/>
      <w:ind w:left="0" w:right="0" w:hanging="0"/>
      <w:jc w:val="left"/>
    </w:pPr>
    <w:rPr>
      <w:rFonts w:ascii="Times New Roman" w:hAnsi="Times New Roman" w:eastAsia="Times New Roman" w:cs="Times New Roman"/>
      <w:b w:val="false"/>
      <w:i w:val="false"/>
      <w:caps w:val="false"/>
      <w:smallCaps w:val="false"/>
      <w:strike w:val="false"/>
      <w:dstrike w:val="false"/>
      <w:color w:val="00000A"/>
      <w:position w:val="0"/>
      <w:sz w:val="24"/>
      <w:sz w:val="24"/>
      <w:szCs w:val="24"/>
      <w:u w:val="none"/>
      <w:vertAlign w:val="baseline"/>
      <w:lang w:val="et-EE" w:eastAsia="zh-CN" w:bidi="hi-IN"/>
    </w:rPr>
  </w:style>
  <w:style w:type="paragraph" w:styleId="Pealkiri1">
    <w:name w:val="Heading 1"/>
    <w:next w:val="Normal"/>
    <w:qFormat/>
    <w:pPr>
      <w:keepNext/>
      <w:keepLines/>
      <w:widowControl w:val="false"/>
      <w:spacing w:lineRule="auto" w:line="240" w:before="480" w:after="120"/>
      <w:contextualSpacing/>
    </w:pPr>
    <w:rPr>
      <w:rFonts w:ascii="Times New Roman" w:hAnsi="Times New Roman" w:eastAsia="Times New Roman" w:cs="Times New Roman"/>
      <w:b/>
      <w:color w:val="00000A"/>
      <w:sz w:val="48"/>
      <w:szCs w:val="48"/>
      <w:lang w:val="et-EE" w:eastAsia="zh-CN" w:bidi="hi-IN"/>
    </w:rPr>
  </w:style>
  <w:style w:type="paragraph" w:styleId="Pealkiri2">
    <w:name w:val="Heading 2"/>
    <w:next w:val="Normal"/>
    <w:qFormat/>
    <w:pPr>
      <w:keepNext/>
      <w:keepLines/>
      <w:widowControl w:val="false"/>
      <w:spacing w:lineRule="auto" w:line="240" w:before="360" w:after="80"/>
      <w:contextualSpacing/>
    </w:pPr>
    <w:rPr>
      <w:rFonts w:ascii="Times New Roman" w:hAnsi="Times New Roman" w:eastAsia="Times New Roman" w:cs="Times New Roman"/>
      <w:b/>
      <w:color w:val="00000A"/>
      <w:sz w:val="36"/>
      <w:szCs w:val="36"/>
      <w:lang w:val="et-EE" w:eastAsia="zh-CN" w:bidi="hi-IN"/>
    </w:rPr>
  </w:style>
  <w:style w:type="paragraph" w:styleId="Pealkiri3">
    <w:name w:val="Heading 3"/>
    <w:next w:val="Normal"/>
    <w:qFormat/>
    <w:pPr>
      <w:keepNext/>
      <w:keepLines/>
      <w:widowControl w:val="false"/>
      <w:spacing w:lineRule="auto" w:line="240" w:before="280" w:after="80"/>
      <w:contextualSpacing/>
    </w:pPr>
    <w:rPr>
      <w:rFonts w:ascii="Times New Roman" w:hAnsi="Times New Roman" w:eastAsia="Times New Roman" w:cs="Times New Roman"/>
      <w:b/>
      <w:color w:val="00000A"/>
      <w:sz w:val="28"/>
      <w:szCs w:val="28"/>
      <w:lang w:val="et-EE" w:eastAsia="zh-CN" w:bidi="hi-IN"/>
    </w:rPr>
  </w:style>
  <w:style w:type="paragraph" w:styleId="Pealkiri4">
    <w:name w:val="Heading 4"/>
    <w:next w:val="Normal"/>
    <w:qFormat/>
    <w:pPr>
      <w:keepNext/>
      <w:keepLines/>
      <w:widowControl w:val="false"/>
      <w:spacing w:lineRule="auto" w:line="240" w:before="240" w:after="40"/>
      <w:contextualSpacing/>
    </w:pPr>
    <w:rPr>
      <w:rFonts w:ascii="Times New Roman" w:hAnsi="Times New Roman" w:eastAsia="Times New Roman" w:cs="Times New Roman"/>
      <w:b/>
      <w:color w:val="00000A"/>
      <w:sz w:val="24"/>
      <w:szCs w:val="24"/>
      <w:lang w:val="et-EE" w:eastAsia="zh-CN" w:bidi="hi-IN"/>
    </w:rPr>
  </w:style>
  <w:style w:type="paragraph" w:styleId="Pealkiri5">
    <w:name w:val="Heading 5"/>
    <w:next w:val="Normal"/>
    <w:qFormat/>
    <w:pPr>
      <w:keepNext/>
      <w:keepLines/>
      <w:widowControl w:val="false"/>
      <w:spacing w:lineRule="auto" w:line="240" w:before="220" w:after="40"/>
      <w:contextualSpacing/>
    </w:pPr>
    <w:rPr>
      <w:rFonts w:ascii="Times New Roman" w:hAnsi="Times New Roman" w:eastAsia="Times New Roman" w:cs="Times New Roman"/>
      <w:b/>
      <w:color w:val="00000A"/>
      <w:sz w:val="22"/>
      <w:szCs w:val="22"/>
      <w:lang w:val="et-EE" w:eastAsia="zh-CN" w:bidi="hi-IN"/>
    </w:rPr>
  </w:style>
  <w:style w:type="paragraph" w:styleId="Pealkiri6">
    <w:name w:val="Heading 6"/>
    <w:next w:val="Normal"/>
    <w:qFormat/>
    <w:pPr>
      <w:keepNext/>
      <w:keepLines/>
      <w:widowControl w:val="false"/>
      <w:spacing w:lineRule="auto" w:line="240" w:before="200" w:after="40"/>
      <w:contextualSpacing/>
    </w:pPr>
    <w:rPr>
      <w:rFonts w:ascii="Times New Roman" w:hAnsi="Times New Roman" w:eastAsia="Times New Roman" w:cs="Times New Roman"/>
      <w:b/>
      <w:color w:val="00000A"/>
      <w:sz w:val="20"/>
      <w:szCs w:val="20"/>
      <w:lang w:val="et-EE" w:eastAsia="zh-CN" w:bidi="hi-IN"/>
    </w:rPr>
  </w:style>
  <w:style w:type="character" w:styleId="Internetilink">
    <w:name w:val="Internetilink"/>
    <w:rPr>
      <w:color w:val="000080"/>
      <w:u w:val="single"/>
      <w:lang w:val="zxx" w:eastAsia="zxx" w:bidi="zxx"/>
    </w:rPr>
  </w:style>
  <w:style w:type="paragraph" w:styleId="Pealkiri">
    <w:name w:val="Pealkiri"/>
    <w:basedOn w:val="Normal"/>
    <w:next w:val="Phitekst"/>
    <w:qFormat/>
    <w:pPr>
      <w:keepNext/>
      <w:spacing w:before="240" w:after="120"/>
    </w:pPr>
    <w:rPr>
      <w:rFonts w:ascii="Liberation Sans" w:hAnsi="Liberation Sans" w:eastAsia="Microsoft YaHei" w:cs="Lucida Sans"/>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Lucida Sans"/>
    </w:rPr>
  </w:style>
  <w:style w:type="paragraph" w:styleId="Pealdis">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LOnormal" w:default="1">
    <w:name w:val="LO-normal"/>
    <w:qFormat/>
    <w:pPr>
      <w:widowControl/>
      <w:bidi w:val="0"/>
      <w:jc w:val="left"/>
    </w:pPr>
    <w:rPr>
      <w:rFonts w:ascii="Times New Roman" w:hAnsi="Times New Roman" w:eastAsia="Times New Roman" w:cs="Times New Roman"/>
      <w:b w:val="false"/>
      <w:i w:val="false"/>
      <w:caps w:val="false"/>
      <w:smallCaps w:val="false"/>
      <w:strike w:val="false"/>
      <w:dstrike w:val="false"/>
      <w:color w:val="00000A"/>
      <w:position w:val="0"/>
      <w:sz w:val="24"/>
      <w:sz w:val="24"/>
      <w:szCs w:val="24"/>
      <w:u w:val="none"/>
      <w:vertAlign w:val="baseline"/>
      <w:lang w:val="et-EE" w:eastAsia="zh-CN" w:bidi="hi-IN"/>
    </w:rPr>
  </w:style>
  <w:style w:type="paragraph" w:styleId="Tiitel">
    <w:name w:val="Title"/>
    <w:basedOn w:val="LOnormal"/>
    <w:next w:val="Normal"/>
    <w:qFormat/>
    <w:pPr>
      <w:keepNext/>
      <w:keepLines/>
      <w:spacing w:lineRule="auto" w:line="240" w:before="480" w:after="120"/>
      <w:contextualSpacing/>
    </w:pPr>
    <w:rPr>
      <w:b/>
      <w:sz w:val="72"/>
      <w:szCs w:val="72"/>
    </w:rPr>
  </w:style>
  <w:style w:type="paragraph" w:styleId="Alapealkiri">
    <w:name w:val="Subtitle"/>
    <w:basedOn w:val="LOnormal"/>
    <w:next w:val="Normal"/>
    <w:qFormat/>
    <w:pPr>
      <w:keepNext/>
      <w:keepLines/>
      <w:spacing w:lineRule="auto" w:line="240" w:before="360" w:after="80"/>
      <w:contextualSpacing/>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initorn.tlu.ee/~jaagup/kool/java/kursused/17/dt/juht.htm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747</TotalTime>
  <Application>LibreOffice/5.2.1.2$Windows_x86 LibreOffice_project/31dd62db80d4e60af04904455ec9c9219178d620</Application>
  <Pages>4</Pages>
  <Words>671</Words>
  <Characters>6021</Characters>
  <CharactersWithSpaces>6660</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et-EE</dc:language>
  <cp:lastModifiedBy/>
  <dcterms:modified xsi:type="dcterms:W3CDTF">2018-08-09T12:32:25Z</dcterms:modified>
  <cp:revision>4</cp:revision>
  <dc:subject/>
  <dc:title/>
</cp:coreProperties>
</file>